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left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правление жилищно-коммунального хозяйства.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i/>
          <w:iCs/>
          <w:sz w:val="32"/>
          <w:szCs w:val="32"/>
        </w:rPr>
        <w:t xml:space="preserve">Начальник управления </w:t>
      </w:r>
      <w:r>
        <w:rPr>
          <w:rFonts w:ascii="Times New Roman" w:hAnsi="Times New Roman" w:eastAsia="Times New Roman" w:cs="Times New Roman"/>
          <w:b/>
          <w:i/>
          <w:iCs/>
          <w:sz w:val="32"/>
          <w:szCs w:val="32"/>
        </w:rPr>
        <w:t xml:space="preserve">жилищно-коммунального хозяйства</w:t>
      </w:r>
      <w:r>
        <w:rPr>
          <w:rFonts w:ascii="Times New Roman" w:hAnsi="Times New Roman" w:eastAsia="Times New Roman" w:cs="Times New Roman"/>
          <w:b/>
          <w:i/>
          <w:iCs/>
          <w:sz w:val="32"/>
          <w:szCs w:val="32"/>
        </w:rPr>
        <w:t xml:space="preserve">.</w:t>
      </w:r>
      <w:r>
        <w:rPr>
          <w:rFonts w:ascii="Times New Roman" w:hAnsi="Times New Roman" w:eastAsia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left="0" w:firstLine="0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</w:rPr>
      </w:r>
    </w:p>
    <w:p>
      <w:pPr>
        <w:ind w:left="0" w:firstLine="0"/>
        <w:jc w:val="left"/>
        <w:rPr>
          <w:rFonts w:ascii="Times New Roman" w:hAnsi="Times New Roman" w:cs="Times New Roman"/>
          <w:b/>
          <w:bCs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  <w:t xml:space="preserve">          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Квалификационные требования для замещения должности: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highlight w:val="none"/>
        </w:rPr>
      </w:r>
    </w:p>
    <w:p>
      <w:p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  <w:t xml:space="preserve">           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высшее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образование по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специальностям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направлениям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подготовки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«Теплоэнергетика и теплотехника», «Электроэнергетика и электротехника»,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«Экономика»,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«Менеджмент»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«Государственное и муниципальное управление», «Жилищное хозяйство и коммунальная инфраструктура», «Юриспруденция»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  <w:t xml:space="preserve">           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наличие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 менее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двух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лет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стажа гражданской службы или стажа работы по специальности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направлению подготовки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ind w:left="0" w:firstLine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</w:rPr>
      </w:r>
    </w:p>
    <w:p>
      <w:p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  <w:t xml:space="preserve">           </w:t>
      </w:r>
      <w:r>
        <w:rPr>
          <w:rStyle w:val="836"/>
          <w:rFonts w:ascii="Times New Roman" w:hAnsi="Times New Roman" w:eastAsia="Times New Roman" w:cs="Times New Roman"/>
          <w:bCs w:val="0"/>
          <w:iCs/>
          <w:sz w:val="28"/>
          <w:szCs w:val="28"/>
        </w:rPr>
        <w:t xml:space="preserve">Краткое описание д</w:t>
      </w:r>
      <w:r>
        <w:rPr>
          <w:rStyle w:val="836"/>
          <w:rFonts w:ascii="Times New Roman" w:hAnsi="Times New Roman" w:eastAsia="Times New Roman" w:cs="Times New Roman"/>
          <w:bCs w:val="0"/>
          <w:iCs/>
          <w:sz w:val="28"/>
          <w:szCs w:val="28"/>
        </w:rPr>
        <w:t xml:space="preserve">олжностны</w:t>
      </w:r>
      <w:r>
        <w:rPr>
          <w:rStyle w:val="836"/>
          <w:rFonts w:ascii="Times New Roman" w:hAnsi="Times New Roman" w:eastAsia="Times New Roman" w:cs="Times New Roman"/>
          <w:bCs w:val="0"/>
          <w:iCs/>
          <w:sz w:val="28"/>
          <w:szCs w:val="28"/>
        </w:rPr>
        <w:t xml:space="preserve">х</w:t>
      </w:r>
      <w:r>
        <w:rPr>
          <w:rStyle w:val="836"/>
          <w:rFonts w:ascii="Times New Roman" w:hAnsi="Times New Roman" w:eastAsia="Times New Roman" w:cs="Times New Roman"/>
          <w:bCs w:val="0"/>
          <w:iCs/>
          <w:sz w:val="28"/>
          <w:szCs w:val="28"/>
        </w:rPr>
        <w:t xml:space="preserve"> обязанност</w:t>
      </w:r>
      <w:r>
        <w:rPr>
          <w:rStyle w:val="836"/>
          <w:rFonts w:ascii="Times New Roman" w:hAnsi="Times New Roman" w:eastAsia="Times New Roman" w:cs="Times New Roman"/>
          <w:bCs w:val="0"/>
          <w:iCs/>
          <w:sz w:val="28"/>
          <w:szCs w:val="28"/>
        </w:rPr>
        <w:t xml:space="preserve">ей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Style w:val="8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исполнение приказов, распоряжений, поручений вышестоящих руководителей, отданных в пределах их должностных полномочий, за исключением незаконных;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разработка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осуществление контроля разработки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проект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законов и иных нормативных и правовых актов в сфере жилищно-коммунального хозяйства;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реализация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политик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сфере жилищно- коммунального хозяйства, направленн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 удовлетворение потребности граждан в предоставлении жилищных и коммунальных услуг (далее – ЖКХ)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участие в разработке перечня объектов, подлежащих модернизации, реконструкции, капитальному ремонту в сфере ЖКХ;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участие в разработке и реализации государственных, региональных программ в жилищно-коммунальной сфере Забайкальского края;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организация подготовки заключений по проектам нормативных правовых актов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компетенции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управления ЖКХ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ация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оперативной и аналитической информации по вопросам работы ЖКХ;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осуществление контроля за мониторингом подготовки объектов ЖКХ муниципальных образований к отопительному сезону;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проведение работы по организации мероприятий в целях предупреждения ситуаций, которые могут привести к нарушению функционирования систем жизнеобеспечения населения, и ликвидации их последствий;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осуществление контроля за использованием бюджетных средств в рамках государственных, региональных программ по вопросам ЖКХ;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осуществление контроля за мониторингом реализации государственной программы Забайкальского края «Развитие жилищно-коммунального хозяйства Забайкальского края»;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осуществление контроля за мониторингом реализации регионального проекта «Чистая вода (Забайкальский край)»;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участие в определении системы мер по обеспечению надежности систем теплоснабжения поселений, городских округов в соответствии с правилами организации теплоснабжения;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организация контроля мониторинга и анализа аварийности на объектах жилищно-коммунального хозяйства;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осуществление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контроля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мониторинг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 разработке и утверждению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муниципальными образованиями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схем тепло-, водоснабжения, водоотведения;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организация подготовки и заполнения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отчетов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государственных информационных системах по направлению деятельности управления;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осуществление контроля организации работы с контролирующими и надзорными органами в части нарушений в работе систем ЖКХ;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осуществление контроля за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организацией мониторинга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постав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 топливно-энергетических ресурсов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формированием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нормативного запаса топлива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 объектах ЖКХ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организация подго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доклад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оперативн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аналитическ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по вопросам работы ЖКХ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осуществление контроля за мониторингом показателей технико-экономического состояния систем теплоснабжения (за исключением теплопотребляющих установок, потребителей тепловой энергии, теплоносителя, а также 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точников тепловой энергии, функционирующих в режиме комбинированной вырабо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ки электрической и тепловой энергии), в том числе показателей физического износа и энергетической эффективности объе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тов теплоснабжения, представляемых органами местного самоуправления;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организация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едения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 развитию и внедрению концессионных 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ханизмов управления коммунальной инфраструктуры;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участие в разработке прогнозов социально-экономического разв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тия Забайкальского края и внесение предложений к проекту краевого бюджета по вопросам ЖКХ;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подготовка предложений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 формированию и восстановлению аварийного запаса материально-технических ресурсов;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организация и проведение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работы по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мониторинг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состояния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отрасли ЖКХ на территории муниципальных образований Забайкальского края;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организация и участие в разработке прогноза социально-экономического ра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вития края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 вопросам ЖКХ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оказ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консультационн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помощи предприятиям ЖКХ Забайкальского края в решении проблем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ных вопросов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осуществление контроля за ходом проведения органами местного 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моуправления инвентаризации объектов ЖКХ;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Ответственный сотрудник кадровой службы: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</w:rPr>
        <w:t xml:space="preserve">Суханова Виктория Аркадьевна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</w:rPr>
        <w:t xml:space="preserve"> 8 (3022) 21-30-48 (доб. 5512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</w:rPr>
        <w:t xml:space="preserve">).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character" w:styleId="836" w:customStyle="1">
    <w:name w:val="Strong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steg</cp:lastModifiedBy>
  <cp:revision>2</cp:revision>
  <dcterms:modified xsi:type="dcterms:W3CDTF">2025-04-16T03:21:29Z</dcterms:modified>
</cp:coreProperties>
</file>